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8BB7" w14:textId="0215677B" w:rsidR="00F037F2" w:rsidRDefault="00F037F2" w:rsidP="00A316FE">
      <w:pPr>
        <w:spacing w:after="0" w:line="240" w:lineRule="auto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0A2F8C31" w14:textId="5D21E83F" w:rsidR="004C7F74" w:rsidRDefault="004C7F74" w:rsidP="00A316FE">
      <w:pPr>
        <w:spacing w:after="0" w:line="240" w:lineRule="auto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78D790CB" w14:textId="77777777" w:rsidR="004C7F74" w:rsidRPr="003664F6" w:rsidRDefault="004C7F74" w:rsidP="00A316FE">
      <w:pPr>
        <w:spacing w:after="0" w:line="240" w:lineRule="auto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590FC7B7" w14:textId="3A5E0ACD" w:rsidR="00F037F2" w:rsidRDefault="001B1811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40"/>
          <w:szCs w:val="40"/>
        </w:rPr>
      </w:pPr>
      <w:r w:rsidRPr="001B1811">
        <w:rPr>
          <w:noProof/>
          <w:cs/>
        </w:rPr>
        <w:drawing>
          <wp:inline distT="0" distB="0" distL="0" distR="0" wp14:anchorId="6B379E57" wp14:editId="7DCB6796">
            <wp:extent cx="1708150" cy="1686887"/>
            <wp:effectExtent l="0" t="0" r="635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3356" w14:textId="5231AE87" w:rsidR="0094512F" w:rsidRDefault="0094512F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57014436" w14:textId="77777777" w:rsidR="0094512F" w:rsidRDefault="0094512F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4FD24F1B" w14:textId="77777777" w:rsidR="0094512F" w:rsidRPr="003664F6" w:rsidRDefault="0094512F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05F35075" w14:textId="77777777" w:rsidR="00F037F2" w:rsidRPr="003664F6" w:rsidRDefault="00F037F2">
      <w:pPr>
        <w:spacing w:after="0" w:line="240" w:lineRule="auto"/>
        <w:rPr>
          <w:rFonts w:ascii="TH SarabunIT๙" w:eastAsia="Sarabun" w:hAnsi="TH SarabunIT๙" w:cs="TH SarabunIT๙"/>
          <w:b/>
          <w:noProof/>
          <w:sz w:val="40"/>
          <w:szCs w:val="40"/>
        </w:rPr>
      </w:pPr>
    </w:p>
    <w:p w14:paraId="62624DED" w14:textId="77777777" w:rsidR="003664F6" w:rsidRPr="003664F6" w:rsidRDefault="003664F6" w:rsidP="003664F6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52"/>
          <w:szCs w:val="52"/>
        </w:rPr>
      </w:pP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รายงานผลการดำเนินการ</w:t>
      </w:r>
    </w:p>
    <w:p w14:paraId="515D789A" w14:textId="77777777" w:rsidR="0094512F" w:rsidRPr="003664F6" w:rsidRDefault="003664F6" w:rsidP="0094512F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52"/>
          <w:szCs w:val="52"/>
        </w:rPr>
      </w:pP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เพื่อส่งเสริมคุณธรรมและความโปร่งใส</w:t>
      </w:r>
      <w:r w:rsidR="0094512F"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ภายในหน่วยงาน</w:t>
      </w:r>
    </w:p>
    <w:p w14:paraId="4715F4D9" w14:textId="62F24FD4" w:rsidR="003664F6" w:rsidRDefault="003664F6" w:rsidP="003664F6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52"/>
          <w:szCs w:val="52"/>
        </w:rPr>
      </w:pP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ประจำปีงบประมาณ พ</w:t>
      </w:r>
      <w:r w:rsidRPr="003664F6">
        <w:rPr>
          <w:rFonts w:ascii="TH SarabunIT๙" w:eastAsia="Sarabun" w:hAnsi="TH SarabunIT๙" w:cs="TH SarabunIT๙"/>
          <w:b/>
          <w:noProof/>
          <w:sz w:val="52"/>
          <w:szCs w:val="52"/>
        </w:rPr>
        <w:t>.</w:t>
      </w: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ศ</w:t>
      </w:r>
      <w:r w:rsidRPr="003664F6">
        <w:rPr>
          <w:rFonts w:ascii="TH SarabunIT๙" w:eastAsia="Sarabun" w:hAnsi="TH SarabunIT๙" w:cs="TH SarabunIT๙"/>
          <w:b/>
          <w:noProof/>
          <w:sz w:val="52"/>
          <w:szCs w:val="52"/>
        </w:rPr>
        <w:t xml:space="preserve">. </w:t>
      </w: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>๒๕๖</w:t>
      </w:r>
      <w:r w:rsidR="00BC0558">
        <w:rPr>
          <w:rFonts w:ascii="TH SarabunIT๙" w:eastAsia="Sarabun" w:hAnsi="TH SarabunIT๙" w:cs="TH SarabunIT๙" w:hint="cs"/>
          <w:b/>
          <w:bCs/>
          <w:noProof/>
          <w:sz w:val="52"/>
          <w:szCs w:val="52"/>
          <w:cs/>
        </w:rPr>
        <w:t>8</w:t>
      </w:r>
      <w:r w:rsidRPr="003664F6">
        <w:rPr>
          <w:rFonts w:ascii="TH SarabunIT๙" w:eastAsia="Sarabun" w:hAnsi="TH SarabunIT๙" w:cs="TH SarabunIT๙"/>
          <w:b/>
          <w:bCs/>
          <w:noProof/>
          <w:sz w:val="52"/>
          <w:szCs w:val="52"/>
          <w:cs/>
        </w:rPr>
        <w:t xml:space="preserve"> </w:t>
      </w:r>
    </w:p>
    <w:p w14:paraId="4A6EB5B4" w14:textId="77777777" w:rsidR="00F037F2" w:rsidRPr="003664F6" w:rsidRDefault="00F037F2">
      <w:pPr>
        <w:spacing w:after="0" w:line="240" w:lineRule="auto"/>
        <w:jc w:val="center"/>
        <w:rPr>
          <w:rFonts w:ascii="TH SarabunIT๙" w:eastAsia="Sarabun" w:hAnsi="TH SarabunIT๙" w:cs="TH SarabunIT๙"/>
          <w:b/>
          <w:noProof/>
          <w:sz w:val="56"/>
          <w:szCs w:val="56"/>
        </w:rPr>
      </w:pPr>
    </w:p>
    <w:p w14:paraId="2D27EE03" w14:textId="77777777" w:rsidR="001B1811" w:rsidRDefault="001B1811" w:rsidP="00A316F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6AC200A4" w14:textId="77777777" w:rsidR="00301D9E" w:rsidRDefault="00301D9E" w:rsidP="00A316F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2F9F8818" w14:textId="77777777" w:rsidR="00301D9E" w:rsidRDefault="00301D9E" w:rsidP="00A316F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1634C581" w14:textId="77777777" w:rsidR="00301D9E" w:rsidRDefault="00301D9E" w:rsidP="00A316FE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6FE2A973" w14:textId="77777777" w:rsidR="001B1811" w:rsidRDefault="001B1811" w:rsidP="001B18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EDBBF16" w14:textId="26482663" w:rsidR="001B1811" w:rsidRPr="001B1811" w:rsidRDefault="001B1811" w:rsidP="00A316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B1811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องค์การบริหารส่วนตำบลดอนจิก</w:t>
      </w:r>
    </w:p>
    <w:p w14:paraId="0F3E925A" w14:textId="7A829B2A" w:rsidR="001B1811" w:rsidRPr="001B1811" w:rsidRDefault="001B1811" w:rsidP="001B18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  <w:sectPr w:rsidR="001B1811" w:rsidRPr="001B1811" w:rsidSect="00CD3EAB">
          <w:pgSz w:w="11906" w:h="16838"/>
          <w:pgMar w:top="851" w:right="1274" w:bottom="709" w:left="1701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</w:t>
      </w:r>
      <w:proofErr w:type="spellStart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พิบู</w:t>
      </w:r>
      <w:proofErr w:type="spellEnd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ลม</w:t>
      </w:r>
      <w:proofErr w:type="spellStart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ัง</w:t>
      </w:r>
      <w:proofErr w:type="spellEnd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สาหาร   จังหวัด</w:t>
      </w:r>
      <w:r w:rsidR="00FC5AB1">
        <w:rPr>
          <w:rFonts w:ascii="TH SarabunIT๙" w:hAnsi="TH SarabunIT๙" w:cs="TH SarabunIT๙" w:hint="cs"/>
          <w:b/>
          <w:bCs/>
          <w:sz w:val="52"/>
          <w:szCs w:val="52"/>
          <w:cs/>
        </w:rPr>
        <w:t>อุบลราชธานี</w:t>
      </w:r>
    </w:p>
    <w:p w14:paraId="3F8BE144" w14:textId="7F2E897A" w:rsidR="00736F43" w:rsidRPr="00736F43" w:rsidRDefault="00736F43" w:rsidP="00736F43">
      <w:pPr>
        <w:tabs>
          <w:tab w:val="left" w:pos="7560"/>
        </w:tabs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lastRenderedPageBreak/>
        <w:t>ร</w:t>
      </w:r>
      <w:r w:rsidRPr="00736F4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ายงานผลการประเมินความเสี่ยงการทุจริต</w:t>
      </w:r>
    </w:p>
    <w:p w14:paraId="744DC810" w14:textId="10CC1F0B" w:rsidR="00736F43" w:rsidRPr="00736F43" w:rsidRDefault="00736F43" w:rsidP="00736F43">
      <w:pPr>
        <w:tabs>
          <w:tab w:val="left" w:pos="7560"/>
        </w:tabs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36F4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ของ </w:t>
      </w:r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องค์การบริหารส่วนตำบลดอนจิก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อำเภอ</w:t>
      </w:r>
      <w:proofErr w:type="spellStart"/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พิบู</w:t>
      </w:r>
      <w:proofErr w:type="spellEnd"/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ลม</w:t>
      </w:r>
      <w:proofErr w:type="spellStart"/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ัง</w:t>
      </w:r>
      <w:proofErr w:type="spellEnd"/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สาหาร</w:t>
      </w:r>
      <w:r w:rsidRPr="00736F4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 </w:t>
      </w:r>
      <w:r w:rsidRPr="00736F4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จังหวัดอุบลราชธานี</w:t>
      </w:r>
    </w:p>
    <w:p w14:paraId="67011043" w14:textId="77777777" w:rsidR="00736F43" w:rsidRPr="00736F43" w:rsidRDefault="00736F43" w:rsidP="00736F43">
      <w:pPr>
        <w:tabs>
          <w:tab w:val="left" w:pos="7560"/>
        </w:tabs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36F43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11"/>
        <w:tblW w:w="15451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86"/>
        <w:gridCol w:w="2126"/>
        <w:gridCol w:w="2977"/>
        <w:gridCol w:w="3543"/>
      </w:tblGrid>
      <w:tr w:rsidR="00736F43" w:rsidRPr="00736F43" w14:paraId="217F672B" w14:textId="77777777" w:rsidTr="00FD0C87">
        <w:tc>
          <w:tcPr>
            <w:tcW w:w="3119" w:type="dxa"/>
            <w:vAlign w:val="center"/>
          </w:tcPr>
          <w:p w14:paraId="2ED9BD5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ประเด็นความเสี่ยงการทุจริต</w:t>
            </w:r>
          </w:p>
        </w:tc>
        <w:tc>
          <w:tcPr>
            <w:tcW w:w="3686" w:type="dxa"/>
            <w:vAlign w:val="center"/>
          </w:tcPr>
          <w:p w14:paraId="7240CA9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เหตุการณ์ความเสี่ยง</w:t>
            </w:r>
          </w:p>
        </w:tc>
        <w:tc>
          <w:tcPr>
            <w:tcW w:w="2126" w:type="dxa"/>
            <w:vAlign w:val="center"/>
          </w:tcPr>
          <w:p w14:paraId="3AA971A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ระดับของความเสี่ยง</w:t>
            </w:r>
          </w:p>
        </w:tc>
        <w:tc>
          <w:tcPr>
            <w:tcW w:w="2977" w:type="dxa"/>
            <w:vAlign w:val="center"/>
          </w:tcPr>
          <w:p w14:paraId="1179E95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วิธีการในการบริหาร</w:t>
            </w:r>
          </w:p>
          <w:p w14:paraId="0CF86D2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จัดการความเสี่ยง</w:t>
            </w:r>
          </w:p>
        </w:tc>
        <w:tc>
          <w:tcPr>
            <w:tcW w:w="3543" w:type="dxa"/>
            <w:vAlign w:val="center"/>
          </w:tcPr>
          <w:p w14:paraId="317FD81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ผลการดำเนินการตามวิธีการ</w:t>
            </w:r>
          </w:p>
          <w:p w14:paraId="1090E3C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36F4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ในการบริหารจัดการความเสี่ยง</w:t>
            </w:r>
          </w:p>
        </w:tc>
      </w:tr>
      <w:tr w:rsidR="00736F43" w:rsidRPr="00736F43" w14:paraId="213E64DA" w14:textId="77777777" w:rsidTr="00FD0C87">
        <w:trPr>
          <w:trHeight w:val="3273"/>
        </w:trPr>
        <w:tc>
          <w:tcPr>
            <w:tcW w:w="3119" w:type="dxa"/>
          </w:tcPr>
          <w:p w14:paraId="2FA5AB99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1. การปฏิบัติงานของบุคลากร</w:t>
            </w:r>
          </w:p>
          <w:p w14:paraId="01B4D14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0CDF36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7FE8E8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BADD989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77F1B1D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23FDFC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779CB7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 xml:space="preserve">2.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 xml:space="preserve">การให้บริการสาธารณะ/บริการประชาชน </w:t>
            </w:r>
          </w:p>
          <w:p w14:paraId="1680323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F13E7B6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9AD08A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E310EB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B0D35A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3. การบริหารการเงินงบประมาณการจัดซื้อจัดจ้าง การบริหารพัสดุ</w:t>
            </w:r>
          </w:p>
          <w:p w14:paraId="14CF241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69A8BF4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9BEEBB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C65E56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6C1DBDE3" w14:textId="07928B16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BEE8E6E" w14:textId="29DAD7B9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B928BC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 w:hint="cs"/>
                <w:sz w:val="28"/>
                <w:szCs w:val="28"/>
                <w:lang w:val="en-US"/>
              </w:rPr>
            </w:pPr>
          </w:p>
          <w:p w14:paraId="4C0A8CD9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B0E9F3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lastRenderedPageBreak/>
              <w:t xml:space="preserve">4.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การบริหารงานบุคคล การบริหารงานบุคคล การเรียกรับเพื่อให้ได้มาซึ่งการบรรจุ แต่งตั้งเข้ามาปฏิบัติหน้าที่</w:t>
            </w:r>
          </w:p>
          <w:p w14:paraId="4BCA4383" w14:textId="0AFE906B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</w:p>
          <w:p w14:paraId="298CDAE6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BB66906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461687D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40D9EAB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FE7B8E3" w14:textId="17F24354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 w:hint="cs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37ACAEA9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lastRenderedPageBreak/>
              <w:t xml:space="preserve">- 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บุคลากรของหน่วยงานปฏิบัติตามนโยบายของผู้บริหาร โดยไม่มีกฎ ระเบียบรองรับ</w:t>
            </w:r>
          </w:p>
          <w:p w14:paraId="76B56D3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92B154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4DBC68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E5B969D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AADC4CD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763B60D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- ไม่ให้บริการประชาชน ตามลำดับ อันเนื่องจากความสัมพันธ์ส่วนตัว การให้สิทธิพิเศษแก่คนบางกลุ่ม หรือมีการติดสินบนเพื่อให้การปฏิบัติงานเจ้าหน้าเร็วขึ้น</w:t>
            </w:r>
          </w:p>
          <w:p w14:paraId="574BF8C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8948F6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64E9F2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- การบริหารการเงิน งบประมาณการจัดซื้อจัดจ้าง การจัดหาพัสดุไม่เป็นไปตามระเบียบที่เกี่ยวข้อง หรือ ไม่เป็นไปตามวัตถุประสงค์ หรือใช้เงินไม่เกิดประโยชน์กับราชการ</w:t>
            </w:r>
          </w:p>
          <w:p w14:paraId="613CD6F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60E965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8AB848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7088DA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E2F329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DB45E7B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lastRenderedPageBreak/>
              <w:t xml:space="preserve">- การเรียกรับเพื่อให้ได้มาซึ่งการบรรจุ แต่งตั้งเข้ามาปฏิบัติหน้าที่ </w:t>
            </w:r>
          </w:p>
          <w:p w14:paraId="74D1AC4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hAnsi="TH SarabunIT๙" w:cs="TH SarabunIT๙"/>
                <w:sz w:val="28"/>
                <w:szCs w:val="28"/>
                <w:cs/>
              </w:rPr>
              <w:t>ผู้มีอำนาจหรือผู้เกี่ยวข้องกับการสรรหา เรียกรับเงิน ทรัพย์สิน หรือผลประโยชน์อื่นจากผู้สมัครหรือบุคคลใกล้ชิด</w:t>
            </w:r>
          </w:p>
          <w:p w14:paraId="2ACA1F7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-</w:t>
            </w:r>
            <w:r w:rsidRPr="00736F43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การกำหนดคุณสมบัติหรือขั้นตอนการคัดเลือกเพื่อเอื้อประโยชน์แก่บุคคลใดบุคคลหนึ่ง</w:t>
            </w:r>
          </w:p>
          <w:p w14:paraId="73B55692" w14:textId="27250632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hAnsi="TH SarabunIT๙" w:cs="TH SarabunIT๙"/>
                <w:sz w:val="28"/>
                <w:szCs w:val="28"/>
                <w:cs/>
              </w:rPr>
              <w:t>- การใช้ความสัมพันธ์ส่วนตัวหรืออิทธิพลในการกดดันคณะกรรมการคัดเลือก</w:t>
            </w:r>
          </w:p>
        </w:tc>
        <w:tc>
          <w:tcPr>
            <w:tcW w:w="2126" w:type="dxa"/>
          </w:tcPr>
          <w:p w14:paraId="0EC71F6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lastRenderedPageBreak/>
              <w:t>ปานกลาง</w:t>
            </w:r>
          </w:p>
          <w:p w14:paraId="080C1F0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40E8E3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D72521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5C4C14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836C69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86D388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11DF97F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ปานกลาง</w:t>
            </w:r>
          </w:p>
          <w:p w14:paraId="15F932F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423E4B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</w:pPr>
          </w:p>
          <w:p w14:paraId="400973C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5AA8CF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AEE3E5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60D95C7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สูง</w:t>
            </w:r>
          </w:p>
          <w:p w14:paraId="0DBC9C5F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17C78DE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D9BA2E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6C50C1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06D096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20F49E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F9207D2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1BF0844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697AC2DD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042B6E9" w14:textId="7B1C33CF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lastRenderedPageBreak/>
              <w:t>สูง</w:t>
            </w:r>
          </w:p>
          <w:p w14:paraId="4A700E9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7ED948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0688DD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6160F7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lastRenderedPageBreak/>
              <w:t>มาตรการแสดงเจตนารมณ์ในการนำหลักคุณธรรมมาใช้ในการบริหารงานของผู้บริหาร ด้วยการจัดทำแผนปฏิบัติการป้องกันการทุจริต เพื่อยกระดับคุณธรรมและความโปร่งใส</w:t>
            </w:r>
          </w:p>
          <w:p w14:paraId="575B9E4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0D3B01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416E88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 xml:space="preserve">มาตรการ 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>No gift Policy</w:t>
            </w:r>
          </w:p>
          <w:p w14:paraId="7DE24C7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6D9B720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F715A04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A973A9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6AEDB4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0D1E8C95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มาตรการควบคุมการเบิกจ่ายเงินตามเทศบาลบัญญัติงบประมาณรายจ่ายประจำปี</w:t>
            </w:r>
          </w:p>
          <w:p w14:paraId="6803F18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A562AE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6B9A03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A450B6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5D3D7BF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EC0C0D4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07A2071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52B840B0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lastRenderedPageBreak/>
              <w:t>มาตรการสร้างความโปร่งใสในการบริหารงานบุคคล</w:t>
            </w:r>
          </w:p>
          <w:p w14:paraId="48AFB91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ประกาศนโยบาย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 xml:space="preserve">No Gift Policy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และนโยบายต่อต้านการรับสินบน</w:t>
            </w:r>
          </w:p>
          <w:p w14:paraId="185B8D28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กำหนดบทลงโทษสำหรับผู้กระทำผิดอย่างชัดเจน</w:t>
            </w:r>
          </w:p>
          <w:p w14:paraId="0B42F20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แจ้งให้คณะกรรมการสรรหา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เจ้าหน้าที่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และผู้สมัครรับทราบโดยทั่วกัน</w:t>
            </w:r>
          </w:p>
          <w:p w14:paraId="224CB13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ประกาศรับสมัคร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หลักเกณฑ์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และคุณสมบัติผ่านช่องทางสาธารณะ</w:t>
            </w:r>
          </w:p>
          <w:p w14:paraId="73386D2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กำหนดเกณฑ์การให้คะแนนอย่างชัดเจน</w:t>
            </w:r>
          </w:p>
          <w:p w14:paraId="56C0D5B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เปิดเผยผลคะแนนหรือผลการคัดเลือกตามระเบียบที่กำหนด</w:t>
            </w:r>
          </w:p>
          <w:p w14:paraId="3ED30E2B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จัดเก็บเอกสารหลักฐานทุกขั้นตอนเพื่อใช้ตรวจสอบย้อนหลัง</w:t>
            </w:r>
          </w:p>
          <w:p w14:paraId="41D34ECE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จัดช่องทางร้องเรียนที่ปลอดภัยและเป็นความลับ</w:t>
            </w:r>
          </w:p>
          <w:p w14:paraId="6282FDBD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ประชาสัมพันธ์ช่องทางร้องเรียนให้ผู้สมัครรับทราบ</w:t>
            </w:r>
          </w:p>
          <w:p w14:paraId="1B0885FE" w14:textId="564D31BF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มีมาตรการคุ้มครองผู้ร้องเรียนหรือผู้ให้ข้อมูล</w:t>
            </w:r>
          </w:p>
        </w:tc>
        <w:tc>
          <w:tcPr>
            <w:tcW w:w="3543" w:type="dxa"/>
          </w:tcPr>
          <w:p w14:paraId="31091F5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lastRenderedPageBreak/>
              <w:t>ประกาศเจตจำนงสุจริต เสริมสร้างคุณธรรม และความโปร่งใสในการบริหารงาน ประจำปีงบประมาณ พ.ศ. 2568 เพื่อเป็นการยึดถือเป็นแนวทางการปฏิบัติราชการสร้างมาตรฐานที่ดี ในการปฏิบัติงานอย่างโปร่งใส</w:t>
            </w:r>
          </w:p>
          <w:p w14:paraId="46032930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ดำเนินการเสร็จเรียบร้อย</w:t>
            </w:r>
          </w:p>
          <w:p w14:paraId="024FEA36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4ED8CFF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จัดทำประกาศเจตนารมณ์นโยบายมไม่รับของขวัญและของกำนันทุกชนิด จากการปฏิบัติหน้าที่ (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>No gift Policy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)ประจำปีงบประมาณ พ.ศ. 2568 ดำเนินการเสร็จเรียบร้อย</w:t>
            </w:r>
          </w:p>
          <w:p w14:paraId="6EAE1E7A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28D41B91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จัดทำทะเบียนคุมรายจ่ายให้เป็นแนวทางเดียวกันและสอดคล้องกับการปฏิบัติงานระบบบัญชีคอมพิวเตอร์ของ อปท.ประชาสัมพันธ์ช่องทางการร้องเรียน ผ่านเว็บไซต์หลักของเทศบาล และเพจ</w:t>
            </w:r>
            <w:r w:rsidRPr="00736F43">
              <w:rPr>
                <w:rFonts w:ascii="TH SarabunIT๙" w:eastAsia="TH SarabunPSK" w:hAnsi="TH SarabunIT๙" w:cs="TH SarabunIT๙" w:hint="cs"/>
                <w:spacing w:val="-4"/>
                <w:sz w:val="28"/>
                <w:szCs w:val="28"/>
                <w:cs/>
                <w:lang w:val="en-US"/>
              </w:rPr>
              <w:t>ของเทศบาล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ดำเนินการเสร็จเรียบร้อย</w:t>
            </w:r>
          </w:p>
          <w:p w14:paraId="6C325D38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5BE97D7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7FDC078D" w14:textId="77777777" w:rsid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</w:p>
          <w:p w14:paraId="34D9A7A6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lastRenderedPageBreak/>
              <w:t>ประกาศกำหนดมาตรการสร้างความโปร่งใสในการบริหารงานบุคคล ประชาสัมพันธ์ช่องทางการร้องเรียน ผ่านเว็บไซต์หลักของเทศบาล และเพจ</w:t>
            </w:r>
            <w:r w:rsidRPr="00736F43">
              <w:rPr>
                <w:rFonts w:ascii="TH SarabunIT๙" w:eastAsia="TH SarabunPSK" w:hAnsi="TH SarabunIT๙" w:cs="TH SarabunIT๙" w:hint="cs"/>
                <w:spacing w:val="-4"/>
                <w:sz w:val="28"/>
                <w:szCs w:val="28"/>
                <w:cs/>
                <w:lang w:val="en-US"/>
              </w:rPr>
              <w:t>ของเทศบาล ดำเนินการเสร็จเรียบร้อย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 xml:space="preserve">- หน่วยงานได้ดำเนินการประกาศนโยบายต่อต้านการรับสินบนและนโยบาย </w:t>
            </w:r>
            <w:proofErr w:type="spellStart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>No</w:t>
            </w:r>
            <w:proofErr w:type="spellEnd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>Gift</w:t>
            </w:r>
            <w:proofErr w:type="spellEnd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>Policy</w:t>
            </w:r>
            <w:proofErr w:type="spellEnd"/>
            <w:r w:rsidRPr="00736F4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ให้ผู้บริหาร พนักงาน และผู้เกี่ยวข้องรับทราบและถือปฏิบัติอย่างเคร่งครัด</w:t>
            </w:r>
          </w:p>
          <w:p w14:paraId="1D015543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ได้กำหนดหลักเกณฑ์ ขั้นตอน และวิธีการสรรหาพนักงานจ้างตามภารกิจอย่างชัดเจน โปร่งใส และเปิดเผยต่อสาธารณะ</w:t>
            </w:r>
          </w:p>
          <w:p w14:paraId="5730A987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- มีการแต่งตั้งคณะกรรมการดำเนินการสรรหาและคัดเลือกหลายฝ่าย เพื่อให้เกิดการตรวจสอบถ่วงดุล และลดการใช้ดุลพินิจของบุคคลใดบุคคลหนึ่ง</w:t>
            </w:r>
          </w:p>
          <w:p w14:paraId="00E4971C" w14:textId="77777777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cs/>
                <w:lang w:val="en-US"/>
              </w:rPr>
              <w:t>- หน่วยงานได้ประชาสัมพันธ์ช่องทางร้องเรียนการทุจริตและการเรียกรับผลประโยชน์ เพื่อเปิดโอกาสให้ประชาชนและผู้สมัครสามารถแจ้งเบาะแสได้</w:t>
            </w:r>
          </w:p>
          <w:p w14:paraId="632F1B7D" w14:textId="5C85B256" w:rsidR="00736F43" w:rsidRPr="00736F43" w:rsidRDefault="00736F43" w:rsidP="00736F43">
            <w:pPr>
              <w:tabs>
                <w:tab w:val="left" w:pos="7560"/>
              </w:tabs>
              <w:spacing w:line="276" w:lineRule="auto"/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</w:pPr>
            <w:r w:rsidRPr="00736F43">
              <w:rPr>
                <w:rFonts w:ascii="TH SarabunIT๙" w:eastAsia="TH SarabunPSK" w:hAnsi="TH SarabunIT๙" w:cs="TH SarabunIT๙"/>
                <w:sz w:val="28"/>
                <w:szCs w:val="28"/>
                <w:lang w:val="en-US"/>
              </w:rPr>
              <w:t xml:space="preserve">- </w:t>
            </w:r>
            <w:r w:rsidRPr="00736F43">
              <w:rPr>
                <w:rFonts w:ascii="TH SarabunIT๙" w:eastAsia="TH SarabunPSK" w:hAnsi="TH SarabunIT๙" w:cs="TH SarabunIT๙" w:hint="cs"/>
                <w:sz w:val="28"/>
                <w:szCs w:val="28"/>
                <w:cs/>
                <w:lang w:val="en-US"/>
              </w:rPr>
              <w:t>ดำเนินการเสร็จเรียบร้อย</w:t>
            </w:r>
          </w:p>
        </w:tc>
      </w:tr>
    </w:tbl>
    <w:p w14:paraId="50FCAF63" w14:textId="26CE8196" w:rsidR="00736F43" w:rsidRDefault="00736F43" w:rsidP="00736F43">
      <w:pPr>
        <w:tabs>
          <w:tab w:val="left" w:pos="7560"/>
        </w:tabs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</w:rPr>
      </w:pPr>
    </w:p>
    <w:sectPr w:rsidR="00736F43" w:rsidSect="00736F43">
      <w:pgSz w:w="16838" w:h="11906" w:orient="landscape"/>
      <w:pgMar w:top="709" w:right="1440" w:bottom="426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0EF"/>
    <w:multiLevelType w:val="hybridMultilevel"/>
    <w:tmpl w:val="71AC749C"/>
    <w:lvl w:ilvl="0" w:tplc="E3920D9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A80"/>
    <w:multiLevelType w:val="hybridMultilevel"/>
    <w:tmpl w:val="81A64088"/>
    <w:lvl w:ilvl="0" w:tplc="1278D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7BAB"/>
    <w:multiLevelType w:val="multilevel"/>
    <w:tmpl w:val="2DEE7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80AAA"/>
    <w:multiLevelType w:val="hybridMultilevel"/>
    <w:tmpl w:val="92845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2F34"/>
    <w:multiLevelType w:val="hybridMultilevel"/>
    <w:tmpl w:val="BC1CFB6C"/>
    <w:lvl w:ilvl="0" w:tplc="BB66B76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A20D6"/>
    <w:multiLevelType w:val="hybridMultilevel"/>
    <w:tmpl w:val="6B88B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5092"/>
    <w:multiLevelType w:val="hybridMultilevel"/>
    <w:tmpl w:val="ED5466DC"/>
    <w:lvl w:ilvl="0" w:tplc="CF7C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48398">
    <w:abstractNumId w:val="2"/>
  </w:num>
  <w:num w:numId="2" w16cid:durableId="1833325583">
    <w:abstractNumId w:val="0"/>
  </w:num>
  <w:num w:numId="3" w16cid:durableId="1646081084">
    <w:abstractNumId w:val="3"/>
  </w:num>
  <w:num w:numId="4" w16cid:durableId="597295352">
    <w:abstractNumId w:val="5"/>
  </w:num>
  <w:num w:numId="5" w16cid:durableId="1898009696">
    <w:abstractNumId w:val="4"/>
  </w:num>
  <w:num w:numId="6" w16cid:durableId="1110052453">
    <w:abstractNumId w:val="6"/>
  </w:num>
  <w:num w:numId="7" w16cid:durableId="57825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F2"/>
    <w:rsid w:val="000174A2"/>
    <w:rsid w:val="000463EB"/>
    <w:rsid w:val="0005704B"/>
    <w:rsid w:val="0008450D"/>
    <w:rsid w:val="000B6C78"/>
    <w:rsid w:val="00122BF9"/>
    <w:rsid w:val="001B1811"/>
    <w:rsid w:val="001C3A91"/>
    <w:rsid w:val="001C68EE"/>
    <w:rsid w:val="00202A48"/>
    <w:rsid w:val="002170D8"/>
    <w:rsid w:val="0022186F"/>
    <w:rsid w:val="00222DC7"/>
    <w:rsid w:val="00250873"/>
    <w:rsid w:val="002770E4"/>
    <w:rsid w:val="002816DE"/>
    <w:rsid w:val="002A462A"/>
    <w:rsid w:val="002D014E"/>
    <w:rsid w:val="0030111F"/>
    <w:rsid w:val="00301D9E"/>
    <w:rsid w:val="0031417E"/>
    <w:rsid w:val="0035517F"/>
    <w:rsid w:val="003664F6"/>
    <w:rsid w:val="003D4E0D"/>
    <w:rsid w:val="003E2AAE"/>
    <w:rsid w:val="00402827"/>
    <w:rsid w:val="00435AE3"/>
    <w:rsid w:val="00456F1A"/>
    <w:rsid w:val="0047335C"/>
    <w:rsid w:val="00487806"/>
    <w:rsid w:val="004B5A6A"/>
    <w:rsid w:val="004C7F74"/>
    <w:rsid w:val="005574FD"/>
    <w:rsid w:val="005B7D67"/>
    <w:rsid w:val="005F222D"/>
    <w:rsid w:val="00681A6D"/>
    <w:rsid w:val="00682577"/>
    <w:rsid w:val="0069137B"/>
    <w:rsid w:val="006B1A36"/>
    <w:rsid w:val="006C0D07"/>
    <w:rsid w:val="00712945"/>
    <w:rsid w:val="00736F43"/>
    <w:rsid w:val="0076702D"/>
    <w:rsid w:val="00793232"/>
    <w:rsid w:val="007C0F64"/>
    <w:rsid w:val="007E4601"/>
    <w:rsid w:val="008367B0"/>
    <w:rsid w:val="00846E35"/>
    <w:rsid w:val="00857B71"/>
    <w:rsid w:val="008B1104"/>
    <w:rsid w:val="008F0577"/>
    <w:rsid w:val="0094512F"/>
    <w:rsid w:val="00972987"/>
    <w:rsid w:val="009962B8"/>
    <w:rsid w:val="00A316FE"/>
    <w:rsid w:val="00AD68BF"/>
    <w:rsid w:val="00B06544"/>
    <w:rsid w:val="00B225F2"/>
    <w:rsid w:val="00B768C4"/>
    <w:rsid w:val="00BA1A64"/>
    <w:rsid w:val="00BC0558"/>
    <w:rsid w:val="00BE3CF5"/>
    <w:rsid w:val="00C27118"/>
    <w:rsid w:val="00C93CA7"/>
    <w:rsid w:val="00CC0465"/>
    <w:rsid w:val="00CD3EAB"/>
    <w:rsid w:val="00CE1492"/>
    <w:rsid w:val="00DA394E"/>
    <w:rsid w:val="00DD3512"/>
    <w:rsid w:val="00DD38E7"/>
    <w:rsid w:val="00E13240"/>
    <w:rsid w:val="00E46231"/>
    <w:rsid w:val="00F037F2"/>
    <w:rsid w:val="00F2496F"/>
    <w:rsid w:val="00F724EC"/>
    <w:rsid w:val="00FC5AB1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4544"/>
  <w15:docId w15:val="{9AB60F0C-B369-46F5-B6A3-E4320DF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1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16DE"/>
    <w:pPr>
      <w:ind w:left="720"/>
      <w:contextualSpacing/>
    </w:pPr>
    <w:rPr>
      <w:rFonts w:cs="Angsana New"/>
      <w:szCs w:val="28"/>
    </w:rPr>
  </w:style>
  <w:style w:type="character" w:styleId="a7">
    <w:name w:val="Hyperlink"/>
    <w:basedOn w:val="a0"/>
    <w:uiPriority w:val="99"/>
    <w:unhideWhenUsed/>
    <w:rsid w:val="00AD68BF"/>
    <w:rPr>
      <w:color w:val="0000FF" w:themeColor="hyperlink"/>
      <w:u w:val="single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AD68BF"/>
    <w:rPr>
      <w:color w:val="605E5C"/>
      <w:shd w:val="clear" w:color="auto" w:fill="E1DFDD"/>
    </w:rPr>
  </w:style>
  <w:style w:type="paragraph" w:customStyle="1" w:styleId="Default">
    <w:name w:val="Default"/>
    <w:rsid w:val="00FC5AB1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a8">
    <w:name w:val="Table Grid"/>
    <w:basedOn w:val="a1"/>
    <w:uiPriority w:val="39"/>
    <w:rsid w:val="00E1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C0D07"/>
    <w:pPr>
      <w:widowControl w:val="0"/>
      <w:autoSpaceDE w:val="0"/>
      <w:autoSpaceDN w:val="0"/>
      <w:spacing w:after="0" w:line="240" w:lineRule="auto"/>
    </w:pPr>
    <w:rPr>
      <w:rFonts w:cs="Cordia New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D0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 w:bidi="ar-SA"/>
    </w:rPr>
  </w:style>
  <w:style w:type="table" w:customStyle="1" w:styleId="TableNormal2">
    <w:name w:val="Table Normal2"/>
    <w:uiPriority w:val="2"/>
    <w:semiHidden/>
    <w:unhideWhenUsed/>
    <w:qFormat/>
    <w:rsid w:val="006C0D07"/>
    <w:pPr>
      <w:widowControl w:val="0"/>
      <w:autoSpaceDE w:val="0"/>
      <w:autoSpaceDN w:val="0"/>
      <w:spacing w:after="0" w:line="240" w:lineRule="auto"/>
    </w:pPr>
    <w:rPr>
      <w:rFonts w:cs="Cordia New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เส้นตาราง1"/>
    <w:basedOn w:val="a1"/>
    <w:next w:val="a8"/>
    <w:uiPriority w:val="39"/>
    <w:rsid w:val="00736F43"/>
    <w:pPr>
      <w:spacing w:after="0" w:line="240" w:lineRule="auto"/>
    </w:pPr>
    <w:rPr>
      <w:rFonts w:ascii="Arial" w:eastAsia="Arial" w:hAnsi="Arial" w:cs="Arial"/>
      <w:lang w:val="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58B6-55AB-4E80-ABCE-8C7FD8FE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Phisit Praipisut</dc:creator>
  <cp:lastModifiedBy>KON</cp:lastModifiedBy>
  <cp:revision>3</cp:revision>
  <cp:lastPrinted>2024-03-07T06:47:00Z</cp:lastPrinted>
  <dcterms:created xsi:type="dcterms:W3CDTF">2026-06-29T04:15:00Z</dcterms:created>
  <dcterms:modified xsi:type="dcterms:W3CDTF">2026-06-29T04:26:00Z</dcterms:modified>
</cp:coreProperties>
</file>